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F77" w:rsidRDefault="00801F77" w:rsidP="00801F77">
      <w:pPr>
        <w:adjustRightInd w:val="0"/>
        <w:snapToGrid w:val="0"/>
        <w:spacing w:afterLines="50" w:after="156" w:line="280" w:lineRule="exact"/>
        <w:ind w:firstLineChars="200" w:firstLine="560"/>
        <w:jc w:val="center"/>
        <w:rPr>
          <w:rFonts w:ascii="Times New Roman" w:eastAsia="黑体" w:hAnsi="Times New Roman" w:hint="eastAsia"/>
          <w:kern w:val="0"/>
          <w:sz w:val="28"/>
          <w:szCs w:val="28"/>
        </w:rPr>
      </w:pPr>
      <w:r>
        <w:rPr>
          <w:rFonts w:ascii="黑体" w:eastAsia="黑体" w:hAnsi="黑体" w:hint="eastAsia"/>
          <w:sz w:val="28"/>
          <w:szCs w:val="30"/>
        </w:rPr>
        <w:t>表</w:t>
      </w:r>
      <w:r>
        <w:rPr>
          <w:rFonts w:ascii="黑体" w:eastAsia="黑体" w:hAnsi="黑体"/>
          <w:sz w:val="28"/>
          <w:szCs w:val="30"/>
        </w:rPr>
        <w:t>3</w:t>
      </w:r>
      <w:r>
        <w:rPr>
          <w:rFonts w:ascii="黑体" w:eastAsia="黑体" w:hAnsi="黑体" w:hint="eastAsia"/>
          <w:sz w:val="28"/>
          <w:szCs w:val="30"/>
        </w:rPr>
        <w:t xml:space="preserve"> </w:t>
      </w:r>
      <w:r>
        <w:rPr>
          <w:rFonts w:ascii="黑体" w:eastAsia="黑体" w:hAnsi="黑体"/>
          <w:sz w:val="28"/>
          <w:szCs w:val="30"/>
        </w:rPr>
        <w:t xml:space="preserve"> </w:t>
      </w:r>
      <w:r>
        <w:rPr>
          <w:rFonts w:ascii="Times New Roman" w:eastAsia="黑体" w:hAnsi="Times New Roman" w:hint="eastAsia"/>
          <w:kern w:val="0"/>
          <w:sz w:val="28"/>
          <w:szCs w:val="28"/>
        </w:rPr>
        <w:t>内蒙古自治区</w:t>
      </w:r>
      <w:r>
        <w:rPr>
          <w:rFonts w:ascii="Times New Roman" w:eastAsia="黑体" w:hAnsi="Times New Roman" w:hint="eastAsia"/>
          <w:kern w:val="0"/>
          <w:sz w:val="28"/>
          <w:szCs w:val="28"/>
        </w:rPr>
        <w:t>25</w:t>
      </w:r>
      <w:r>
        <w:rPr>
          <w:rFonts w:ascii="Times New Roman" w:eastAsia="黑体" w:hAnsi="Times New Roman" w:hint="eastAsia"/>
          <w:kern w:val="0"/>
          <w:sz w:val="28"/>
          <w:szCs w:val="28"/>
        </w:rPr>
        <w:t>个县政府推进义务教育均衡发展工作得分情况表</w:t>
      </w:r>
      <w:r>
        <w:rPr>
          <w:rFonts w:ascii="Times New Roman" w:eastAsia="黑体" w:hAnsi="Times New Roman" w:hint="eastAsia"/>
          <w:kern w:val="0"/>
          <w:sz w:val="28"/>
          <w:szCs w:val="28"/>
        </w:rPr>
        <w:t>(</w:t>
      </w:r>
      <w:proofErr w:type="gramStart"/>
      <w:r>
        <w:rPr>
          <w:rFonts w:ascii="Times New Roman" w:eastAsia="黑体" w:hAnsi="Times New Roman" w:hint="eastAsia"/>
          <w:kern w:val="0"/>
          <w:sz w:val="28"/>
          <w:szCs w:val="28"/>
        </w:rPr>
        <w:t>一</w:t>
      </w:r>
      <w:proofErr w:type="gramEnd"/>
      <w:r>
        <w:rPr>
          <w:rFonts w:ascii="Times New Roman" w:eastAsia="黑体" w:hAnsi="Times New Roman" w:hint="eastAsia"/>
          <w:kern w:val="0"/>
          <w:sz w:val="28"/>
          <w:szCs w:val="28"/>
        </w:rPr>
        <w:t>)</w:t>
      </w:r>
    </w:p>
    <w:tbl>
      <w:tblPr>
        <w:tblW w:w="14844" w:type="dxa"/>
        <w:jc w:val="center"/>
        <w:tbl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single" w:sz="4" w:space="0" w:color="4BACC6"/>
          <w:insideV w:val="single" w:sz="4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1257"/>
        <w:gridCol w:w="4167"/>
        <w:gridCol w:w="575"/>
        <w:gridCol w:w="575"/>
        <w:gridCol w:w="664"/>
        <w:gridCol w:w="602"/>
        <w:gridCol w:w="28"/>
        <w:gridCol w:w="574"/>
        <w:gridCol w:w="56"/>
        <w:gridCol w:w="6"/>
        <w:gridCol w:w="571"/>
        <w:gridCol w:w="53"/>
        <w:gridCol w:w="580"/>
        <w:gridCol w:w="50"/>
        <w:gridCol w:w="583"/>
        <w:gridCol w:w="47"/>
        <w:gridCol w:w="586"/>
        <w:gridCol w:w="44"/>
        <w:gridCol w:w="589"/>
        <w:gridCol w:w="41"/>
        <w:gridCol w:w="592"/>
        <w:gridCol w:w="38"/>
        <w:gridCol w:w="595"/>
        <w:gridCol w:w="35"/>
        <w:gridCol w:w="598"/>
        <w:gridCol w:w="36"/>
        <w:gridCol w:w="597"/>
        <w:gridCol w:w="36"/>
        <w:gridCol w:w="597"/>
        <w:gridCol w:w="36"/>
        <w:gridCol w:w="36"/>
      </w:tblGrid>
      <w:tr w:rsidR="00801F77" w:rsidTr="000475A5">
        <w:trPr>
          <w:gridAfter w:val="2"/>
          <w:wAfter w:w="72" w:type="dxa"/>
          <w:cantSplit/>
          <w:trHeight w:val="1435"/>
          <w:tblHeader/>
          <w:jc w:val="center"/>
        </w:trPr>
        <w:tc>
          <w:tcPr>
            <w:tcW w:w="1257" w:type="dxa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</w:tc>
        <w:tc>
          <w:tcPr>
            <w:tcW w:w="4167" w:type="dxa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  <w:t>评估标准</w:t>
            </w:r>
          </w:p>
        </w:tc>
        <w:tc>
          <w:tcPr>
            <w:tcW w:w="1150" w:type="dxa"/>
            <w:gridSpan w:val="2"/>
            <w:tcBorders>
              <w:tl2br w:val="single" w:sz="4" w:space="0" w:color="4BACC6"/>
            </w:tcBorders>
            <w:vAlign w:val="center"/>
          </w:tcPr>
          <w:p w:rsidR="00801F77" w:rsidRDefault="00801F77" w:rsidP="000475A5">
            <w:pPr>
              <w:widowControl/>
              <w:spacing w:line="240" w:lineRule="exact"/>
              <w:jc w:val="righ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  <w:t>区县</w:t>
            </w:r>
          </w:p>
          <w:p w:rsidR="00801F77" w:rsidRDefault="00801F77" w:rsidP="000475A5">
            <w:pPr>
              <w:widowControl/>
              <w:spacing w:line="240" w:lineRule="exact"/>
              <w:jc w:val="left"/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801F77" w:rsidRDefault="00801F77" w:rsidP="000475A5">
            <w:pPr>
              <w:widowControl/>
              <w:spacing w:line="240" w:lineRule="exact"/>
              <w:jc w:val="left"/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801F77" w:rsidRDefault="00801F77" w:rsidP="000475A5">
            <w:pPr>
              <w:spacing w:line="240" w:lineRule="exact"/>
              <w:ind w:left="-43" w:right="113"/>
              <w:rPr>
                <w:rFonts w:ascii="Times New Roman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  <w:t>分值</w:t>
            </w:r>
          </w:p>
        </w:tc>
        <w:tc>
          <w:tcPr>
            <w:tcW w:w="664" w:type="dxa"/>
            <w:textDirection w:val="tbRlV"/>
            <w:vAlign w:val="center"/>
          </w:tcPr>
          <w:p w:rsidR="00801F77" w:rsidRDefault="00801F77" w:rsidP="000475A5">
            <w:pPr>
              <w:spacing w:line="240" w:lineRule="exact"/>
              <w:ind w:left="113" w:right="113"/>
              <w:jc w:val="center"/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kern w:val="0"/>
                <w:sz w:val="18"/>
                <w:szCs w:val="18"/>
              </w:rPr>
              <w:t>赛罕区</w:t>
            </w:r>
          </w:p>
        </w:tc>
        <w:tc>
          <w:tcPr>
            <w:tcW w:w="602" w:type="dxa"/>
            <w:textDirection w:val="tbRlV"/>
          </w:tcPr>
          <w:p w:rsidR="00801F77" w:rsidRDefault="00801F77" w:rsidP="000475A5">
            <w:pPr>
              <w:spacing w:line="240" w:lineRule="exact"/>
              <w:ind w:left="113" w:right="113"/>
              <w:jc w:val="center"/>
              <w:rPr>
                <w:rFonts w:ascii="宋体" w:hAnsi="宋体" w:hint="eastAsia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kern w:val="0"/>
                <w:sz w:val="18"/>
                <w:szCs w:val="18"/>
              </w:rPr>
              <w:t>和林格尔县</w:t>
            </w:r>
          </w:p>
        </w:tc>
        <w:tc>
          <w:tcPr>
            <w:tcW w:w="602" w:type="dxa"/>
            <w:gridSpan w:val="2"/>
            <w:textDirection w:val="tbRlV"/>
            <w:vAlign w:val="center"/>
          </w:tcPr>
          <w:p w:rsidR="00801F77" w:rsidRDefault="00801F77" w:rsidP="000475A5">
            <w:pPr>
              <w:spacing w:line="240" w:lineRule="exact"/>
              <w:ind w:left="113" w:right="113"/>
              <w:jc w:val="center"/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kern w:val="0"/>
                <w:sz w:val="18"/>
                <w:szCs w:val="18"/>
              </w:rPr>
              <w:t>青山区</w:t>
            </w:r>
          </w:p>
        </w:tc>
        <w:tc>
          <w:tcPr>
            <w:tcW w:w="633" w:type="dxa"/>
            <w:gridSpan w:val="3"/>
            <w:textDirection w:val="tbRlV"/>
            <w:vAlign w:val="center"/>
          </w:tcPr>
          <w:p w:rsidR="00801F77" w:rsidRDefault="00801F77" w:rsidP="000475A5">
            <w:pPr>
              <w:spacing w:line="240" w:lineRule="exact"/>
              <w:ind w:left="113" w:right="113"/>
              <w:jc w:val="center"/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b/>
                <w:kern w:val="0"/>
                <w:sz w:val="18"/>
                <w:szCs w:val="18"/>
              </w:rPr>
              <w:t>石拐区</w:t>
            </w:r>
            <w:proofErr w:type="gramEnd"/>
          </w:p>
        </w:tc>
        <w:tc>
          <w:tcPr>
            <w:tcW w:w="633" w:type="dxa"/>
            <w:gridSpan w:val="2"/>
            <w:textDirection w:val="tbRlV"/>
            <w:vAlign w:val="center"/>
          </w:tcPr>
          <w:p w:rsidR="00801F77" w:rsidRDefault="00801F77" w:rsidP="000475A5">
            <w:pPr>
              <w:spacing w:line="240" w:lineRule="exact"/>
              <w:ind w:left="113" w:right="113"/>
              <w:jc w:val="center"/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白云鄂博矿区</w:t>
            </w:r>
          </w:p>
        </w:tc>
        <w:tc>
          <w:tcPr>
            <w:tcW w:w="633" w:type="dxa"/>
            <w:gridSpan w:val="2"/>
            <w:textDirection w:val="tbRlV"/>
            <w:vAlign w:val="center"/>
          </w:tcPr>
          <w:p w:rsidR="00801F77" w:rsidRDefault="00801F77" w:rsidP="000475A5">
            <w:pPr>
              <w:spacing w:line="240" w:lineRule="exact"/>
              <w:ind w:left="113" w:right="113"/>
              <w:jc w:val="center"/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固阳县</w:t>
            </w:r>
          </w:p>
        </w:tc>
        <w:tc>
          <w:tcPr>
            <w:tcW w:w="633" w:type="dxa"/>
            <w:gridSpan w:val="2"/>
            <w:textDirection w:val="tbRlV"/>
            <w:vAlign w:val="center"/>
          </w:tcPr>
          <w:p w:rsidR="00801F77" w:rsidRDefault="00801F77" w:rsidP="000475A5">
            <w:pPr>
              <w:spacing w:line="240" w:lineRule="exact"/>
              <w:ind w:left="113" w:right="113"/>
              <w:jc w:val="center"/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达尔罕茂明安联合旗</w:t>
            </w:r>
          </w:p>
        </w:tc>
        <w:tc>
          <w:tcPr>
            <w:tcW w:w="633" w:type="dxa"/>
            <w:gridSpan w:val="2"/>
            <w:textDirection w:val="tbRlV"/>
            <w:vAlign w:val="center"/>
          </w:tcPr>
          <w:p w:rsidR="00801F77" w:rsidRDefault="00801F77" w:rsidP="000475A5">
            <w:pPr>
              <w:spacing w:line="240" w:lineRule="exact"/>
              <w:ind w:left="113" w:right="113"/>
              <w:jc w:val="center"/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  <w:t>林西县</w:t>
            </w:r>
          </w:p>
        </w:tc>
        <w:tc>
          <w:tcPr>
            <w:tcW w:w="633" w:type="dxa"/>
            <w:gridSpan w:val="2"/>
            <w:textDirection w:val="tbRlV"/>
            <w:vAlign w:val="center"/>
          </w:tcPr>
          <w:p w:rsidR="00801F77" w:rsidRDefault="00801F77" w:rsidP="000475A5">
            <w:pPr>
              <w:spacing w:line="240" w:lineRule="exact"/>
              <w:ind w:left="113" w:right="113"/>
              <w:jc w:val="center"/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kern w:val="0"/>
                <w:sz w:val="18"/>
                <w:szCs w:val="18"/>
              </w:rPr>
              <w:t>扎鲁特旗</w:t>
            </w:r>
          </w:p>
        </w:tc>
        <w:tc>
          <w:tcPr>
            <w:tcW w:w="633" w:type="dxa"/>
            <w:gridSpan w:val="2"/>
            <w:textDirection w:val="tbRlV"/>
            <w:vAlign w:val="center"/>
          </w:tcPr>
          <w:p w:rsidR="00801F77" w:rsidRDefault="00801F77" w:rsidP="000475A5">
            <w:pPr>
              <w:spacing w:line="240" w:lineRule="exact"/>
              <w:ind w:left="113" w:right="113"/>
              <w:jc w:val="center"/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准格尔旗</w:t>
            </w:r>
          </w:p>
        </w:tc>
        <w:tc>
          <w:tcPr>
            <w:tcW w:w="633" w:type="dxa"/>
            <w:gridSpan w:val="2"/>
            <w:textDirection w:val="tbRlV"/>
            <w:vAlign w:val="center"/>
          </w:tcPr>
          <w:p w:rsidR="00801F77" w:rsidRDefault="00801F77" w:rsidP="000475A5">
            <w:pPr>
              <w:spacing w:line="240" w:lineRule="exact"/>
              <w:ind w:left="113" w:right="113"/>
              <w:jc w:val="center"/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鄂托克前旗</w:t>
            </w:r>
          </w:p>
        </w:tc>
        <w:tc>
          <w:tcPr>
            <w:tcW w:w="633" w:type="dxa"/>
            <w:gridSpan w:val="2"/>
            <w:textDirection w:val="tbRlV"/>
            <w:vAlign w:val="center"/>
          </w:tcPr>
          <w:p w:rsidR="00801F77" w:rsidRDefault="00801F77" w:rsidP="000475A5">
            <w:pPr>
              <w:spacing w:line="240" w:lineRule="exact"/>
              <w:ind w:left="113" w:right="113"/>
              <w:jc w:val="center"/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伊金霍洛旗</w:t>
            </w:r>
          </w:p>
        </w:tc>
        <w:tc>
          <w:tcPr>
            <w:tcW w:w="633" w:type="dxa"/>
            <w:gridSpan w:val="2"/>
            <w:textDirection w:val="tbRlV"/>
            <w:vAlign w:val="center"/>
          </w:tcPr>
          <w:p w:rsidR="00801F77" w:rsidRDefault="00801F77" w:rsidP="000475A5">
            <w:pPr>
              <w:spacing w:line="240" w:lineRule="exact"/>
              <w:ind w:left="113" w:right="113"/>
              <w:jc w:val="center"/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  <w:t>根河市</w:t>
            </w:r>
          </w:p>
        </w:tc>
      </w:tr>
      <w:tr w:rsidR="00801F77" w:rsidTr="000475A5">
        <w:trPr>
          <w:trHeight w:val="397"/>
          <w:jc w:val="center"/>
        </w:trPr>
        <w:tc>
          <w:tcPr>
            <w:tcW w:w="1257" w:type="dxa"/>
            <w:vMerge w:val="restart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hint="eastAsia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A1入学机会</w:t>
            </w:r>
          </w:p>
          <w:p w:rsidR="00801F77" w:rsidRDefault="00801F77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（20分）</w:t>
            </w:r>
          </w:p>
        </w:tc>
        <w:tc>
          <w:tcPr>
            <w:tcW w:w="4167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1.进城务工人员随迁子女就学纳入流入地教育发展规划。坚持以流入地政府管理为主、以全日制公办中小学为主，纳入流入地政府财政保障体系。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</w:p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</w:p>
          <w:p w:rsidR="00801F77" w:rsidRDefault="00801F77" w:rsidP="000475A5">
            <w:pPr>
              <w:widowControl/>
              <w:spacing w:line="240" w:lineRule="exact"/>
              <w:ind w:firstLineChars="50" w:firstLine="90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1</w:t>
            </w:r>
          </w:p>
          <w:p w:rsidR="00801F77" w:rsidRDefault="00801F77" w:rsidP="000475A5">
            <w:pPr>
              <w:spacing w:line="240" w:lineRule="exact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64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4.5</w:t>
            </w:r>
          </w:p>
        </w:tc>
        <w:tc>
          <w:tcPr>
            <w:tcW w:w="636" w:type="dxa"/>
            <w:gridSpan w:val="3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624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4.5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4.5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634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3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669" w:type="dxa"/>
            <w:gridSpan w:val="3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</w:tr>
      <w:tr w:rsidR="00801F77" w:rsidTr="000475A5">
        <w:trPr>
          <w:trHeight w:val="397"/>
          <w:jc w:val="center"/>
        </w:trPr>
        <w:tc>
          <w:tcPr>
            <w:tcW w:w="1257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4167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2.构建起以政府为主导，学校、家庭、社会各方面广泛参与的留守儿童关爱体系和动态监测机制。加快农村牧区寄宿制学校建设，满足留守儿童入学住宿需求。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L2</w:t>
            </w:r>
          </w:p>
          <w:p w:rsidR="00801F77" w:rsidRDefault="00801F77" w:rsidP="000475A5">
            <w:pPr>
              <w:spacing w:line="240" w:lineRule="exact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64" w:type="dxa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6" w:type="dxa"/>
            <w:gridSpan w:val="3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624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4.5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634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3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669" w:type="dxa"/>
            <w:gridSpan w:val="3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</w:tr>
      <w:tr w:rsidR="00801F77" w:rsidTr="000475A5">
        <w:trPr>
          <w:trHeight w:val="397"/>
          <w:jc w:val="center"/>
        </w:trPr>
        <w:tc>
          <w:tcPr>
            <w:tcW w:w="1257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4167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3.三类残疾儿童少年义务教育入学率不低于80%。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L3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64" w:type="dxa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6" w:type="dxa"/>
            <w:gridSpan w:val="3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24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34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3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69" w:type="dxa"/>
            <w:gridSpan w:val="3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</w:tr>
      <w:tr w:rsidR="00801F77" w:rsidTr="000475A5">
        <w:trPr>
          <w:trHeight w:val="397"/>
          <w:jc w:val="center"/>
        </w:trPr>
        <w:tc>
          <w:tcPr>
            <w:tcW w:w="1257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4167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4.实行小学升初中划片就近入学。优质普通高中招生名额按初中规模合理分配，其分配比例不低于60%。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L4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664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636" w:type="dxa"/>
            <w:gridSpan w:val="3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5.5</w:t>
            </w:r>
          </w:p>
        </w:tc>
        <w:tc>
          <w:tcPr>
            <w:tcW w:w="624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5.5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5.5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5.5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5.5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6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6</w:t>
            </w:r>
          </w:p>
        </w:tc>
        <w:tc>
          <w:tcPr>
            <w:tcW w:w="634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633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6</w:t>
            </w:r>
          </w:p>
        </w:tc>
        <w:tc>
          <w:tcPr>
            <w:tcW w:w="669" w:type="dxa"/>
            <w:gridSpan w:val="3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6</w:t>
            </w:r>
          </w:p>
        </w:tc>
      </w:tr>
      <w:tr w:rsidR="00801F77" w:rsidTr="000475A5">
        <w:trPr>
          <w:trHeight w:val="397"/>
          <w:jc w:val="center"/>
        </w:trPr>
        <w:tc>
          <w:tcPr>
            <w:tcW w:w="1257" w:type="dxa"/>
            <w:vMerge w:val="restart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hint="eastAsia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A2 保障机制</w:t>
            </w:r>
          </w:p>
          <w:p w:rsidR="00801F77" w:rsidRDefault="00801F77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（25分）</w:t>
            </w:r>
          </w:p>
        </w:tc>
        <w:tc>
          <w:tcPr>
            <w:tcW w:w="4167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1.建立了义务教育均衡发展责任制度、监督机制和问责机制。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L5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64" w:type="dxa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636" w:type="dxa"/>
            <w:gridSpan w:val="3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24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34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3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69" w:type="dxa"/>
            <w:gridSpan w:val="3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</w:tr>
      <w:tr w:rsidR="00801F77" w:rsidTr="000475A5">
        <w:trPr>
          <w:trHeight w:val="397"/>
          <w:jc w:val="center"/>
        </w:trPr>
        <w:tc>
          <w:tcPr>
            <w:tcW w:w="1257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4167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2.义务教育经费在财政预算中单列，近三年义务教育经费做到“三个增长”。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L6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64" w:type="dxa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5.4</w:t>
            </w:r>
          </w:p>
        </w:tc>
        <w:tc>
          <w:tcPr>
            <w:tcW w:w="636" w:type="dxa"/>
            <w:gridSpan w:val="3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4.4</w:t>
            </w:r>
          </w:p>
        </w:tc>
        <w:tc>
          <w:tcPr>
            <w:tcW w:w="624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6.7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5.1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6.4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5.4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4.8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634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633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6.4</w:t>
            </w:r>
          </w:p>
        </w:tc>
        <w:tc>
          <w:tcPr>
            <w:tcW w:w="669" w:type="dxa"/>
            <w:gridSpan w:val="3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</w:tr>
      <w:tr w:rsidR="00801F77" w:rsidTr="000475A5">
        <w:trPr>
          <w:trHeight w:val="397"/>
          <w:jc w:val="center"/>
        </w:trPr>
        <w:tc>
          <w:tcPr>
            <w:tcW w:w="1257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4167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3.制定了义务教育学校标准化建设实施方案，并按实施方案完成进度计划。制定并有效实施了薄弱学校改造计划，坚持财政性教育经费向薄弱学校倾斜。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L7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664" w:type="dxa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636" w:type="dxa"/>
            <w:gridSpan w:val="3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624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634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633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669" w:type="dxa"/>
            <w:gridSpan w:val="3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</w:tr>
      <w:tr w:rsidR="00801F77" w:rsidTr="000475A5">
        <w:trPr>
          <w:trHeight w:val="397"/>
          <w:jc w:val="center"/>
        </w:trPr>
        <w:tc>
          <w:tcPr>
            <w:tcW w:w="1257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4167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4.农村税费改革转移支付资金主要用于教育。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L8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64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6" w:type="dxa"/>
            <w:gridSpan w:val="3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24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34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3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69" w:type="dxa"/>
            <w:gridSpan w:val="3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</w:tr>
      <w:tr w:rsidR="00801F77" w:rsidTr="000475A5">
        <w:trPr>
          <w:trHeight w:val="397"/>
          <w:jc w:val="center"/>
        </w:trPr>
        <w:tc>
          <w:tcPr>
            <w:tcW w:w="1257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4167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5.教育费附加足额征收，及时足额用于教育。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L9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64" w:type="dxa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636" w:type="dxa"/>
            <w:gridSpan w:val="3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24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34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3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69" w:type="dxa"/>
            <w:gridSpan w:val="3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</w:tr>
      <w:tr w:rsidR="00801F77" w:rsidTr="000475A5">
        <w:trPr>
          <w:trHeight w:val="397"/>
          <w:jc w:val="center"/>
        </w:trPr>
        <w:tc>
          <w:tcPr>
            <w:tcW w:w="1257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4167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6.在城市（镇）建设中合理规划义务教育学校布局，城市（镇）建设规划有学校建设规划，并按规划建设好学校。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L10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64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6" w:type="dxa"/>
            <w:gridSpan w:val="3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24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34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3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69" w:type="dxa"/>
            <w:gridSpan w:val="3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</w:tr>
      <w:tr w:rsidR="00801F77" w:rsidTr="000475A5">
        <w:trPr>
          <w:trHeight w:val="397"/>
          <w:jc w:val="center"/>
        </w:trPr>
        <w:tc>
          <w:tcPr>
            <w:tcW w:w="1257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4167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宋体" w:hAnsi="宋体" w:hint="eastAsia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7.在推进义务教育均衡发展过程中，对民族义务教育学校在项目上优先安排，在资金上予以倾斜。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L11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64" w:type="dxa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6" w:type="dxa"/>
            <w:gridSpan w:val="3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24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34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3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69" w:type="dxa"/>
            <w:gridSpan w:val="3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</w:tr>
      <w:tr w:rsidR="00801F77" w:rsidTr="000475A5">
        <w:trPr>
          <w:trHeight w:val="454"/>
          <w:jc w:val="center"/>
        </w:trPr>
        <w:tc>
          <w:tcPr>
            <w:tcW w:w="1257" w:type="dxa"/>
            <w:vMerge w:val="restart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hint="eastAsia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A3教师队伍</w:t>
            </w:r>
          </w:p>
          <w:p w:rsidR="00801F77" w:rsidRDefault="00801F77" w:rsidP="000475A5">
            <w:pPr>
              <w:jc w:val="center"/>
              <w:rPr>
                <w:rFonts w:ascii="宋体" w:hAnsi="宋体" w:hint="eastAsia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（35分）</w:t>
            </w:r>
          </w:p>
        </w:tc>
        <w:tc>
          <w:tcPr>
            <w:tcW w:w="4167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1.全面实施义务教育学校教职工绩效工资制度，并按时足额发放。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664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636" w:type="dxa"/>
            <w:gridSpan w:val="3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624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634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633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8</w:t>
            </w:r>
          </w:p>
        </w:tc>
        <w:tc>
          <w:tcPr>
            <w:tcW w:w="669" w:type="dxa"/>
            <w:gridSpan w:val="3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8</w:t>
            </w:r>
          </w:p>
        </w:tc>
      </w:tr>
      <w:tr w:rsidR="00801F77" w:rsidTr="000475A5">
        <w:trPr>
          <w:trHeight w:val="454"/>
          <w:jc w:val="center"/>
        </w:trPr>
        <w:tc>
          <w:tcPr>
            <w:tcW w:w="1257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4167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2.建立完善教师补充机制，新增教师优先满足农村牧区学校、城镇薄弱学校需求。按编制标准配齐合格的学科教师。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L13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664" w:type="dxa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636" w:type="dxa"/>
            <w:gridSpan w:val="3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624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7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7.5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634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633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669" w:type="dxa"/>
            <w:gridSpan w:val="3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</w:tr>
      <w:tr w:rsidR="00801F77" w:rsidTr="000475A5">
        <w:trPr>
          <w:trHeight w:val="454"/>
          <w:jc w:val="center"/>
        </w:trPr>
        <w:tc>
          <w:tcPr>
            <w:tcW w:w="1257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4167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3.建立并有效实施了县域内义务教育学校校长和教师定期交流制度。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L14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64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636" w:type="dxa"/>
            <w:gridSpan w:val="3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624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634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3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4.5</w:t>
            </w:r>
          </w:p>
        </w:tc>
        <w:tc>
          <w:tcPr>
            <w:tcW w:w="669" w:type="dxa"/>
            <w:gridSpan w:val="3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</w:tr>
      <w:tr w:rsidR="00801F77" w:rsidTr="000475A5">
        <w:trPr>
          <w:trHeight w:val="454"/>
          <w:jc w:val="center"/>
        </w:trPr>
        <w:tc>
          <w:tcPr>
            <w:tcW w:w="1257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4167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4.中小学教师培训经费按不低于教师工资总额的1-2%纳入财政预算；教育费附加中提取不低于15%用于中小学教师继续教育；农村学校按照年度公用经费总额的5%用于教师培训。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L15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664" w:type="dxa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6" w:type="dxa"/>
            <w:gridSpan w:val="3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624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6.7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634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633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669" w:type="dxa"/>
            <w:gridSpan w:val="3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8</w:t>
            </w:r>
          </w:p>
        </w:tc>
      </w:tr>
      <w:tr w:rsidR="00801F77" w:rsidTr="000475A5">
        <w:trPr>
          <w:trHeight w:val="454"/>
          <w:jc w:val="center"/>
        </w:trPr>
        <w:tc>
          <w:tcPr>
            <w:tcW w:w="1257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4167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5.建有农村牧区教师周转宿舍，解决交流教师、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特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岗教师、支教教师的居住问题。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L16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64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6" w:type="dxa"/>
            <w:gridSpan w:val="3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24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34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3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69" w:type="dxa"/>
            <w:gridSpan w:val="3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</w:tr>
      <w:tr w:rsidR="00801F77" w:rsidTr="000475A5">
        <w:trPr>
          <w:trHeight w:val="454"/>
          <w:jc w:val="center"/>
        </w:trPr>
        <w:tc>
          <w:tcPr>
            <w:tcW w:w="1257" w:type="dxa"/>
            <w:vMerge w:val="restart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lastRenderedPageBreak/>
              <w:t>A4</w:t>
            </w:r>
            <w:r>
              <w:rPr>
                <w:rFonts w:ascii="宋体" w:hAnsi="宋体"/>
                <w:bCs/>
                <w:color w:val="000000"/>
                <w:sz w:val="18"/>
                <w:szCs w:val="18"/>
              </w:rPr>
              <w:t>质量与管理</w:t>
            </w:r>
            <w:r>
              <w:rPr>
                <w:rFonts w:ascii="宋体" w:hAnsi="宋体" w:hint="eastAsia"/>
                <w:bCs/>
                <w:color w:val="000000"/>
                <w:sz w:val="18"/>
                <w:szCs w:val="18"/>
              </w:rPr>
              <w:t>（20分）</w:t>
            </w:r>
          </w:p>
        </w:tc>
        <w:tc>
          <w:tcPr>
            <w:tcW w:w="4167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1.按照《内蒙古自治区义务教育课程计划》，开齐开足国家课程，开好地方课程、校本课程。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L17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64" w:type="dxa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6" w:type="dxa"/>
            <w:gridSpan w:val="3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24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34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3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69" w:type="dxa"/>
            <w:gridSpan w:val="3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</w:tr>
      <w:tr w:rsidR="00801F77" w:rsidTr="000475A5">
        <w:trPr>
          <w:trHeight w:val="454"/>
          <w:jc w:val="center"/>
        </w:trPr>
        <w:tc>
          <w:tcPr>
            <w:tcW w:w="1257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4167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2.九年义务教育巩固率达到93%。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L18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64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6" w:type="dxa"/>
            <w:gridSpan w:val="3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24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34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3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69" w:type="dxa"/>
            <w:gridSpan w:val="3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</w:tr>
      <w:tr w:rsidR="00801F77" w:rsidTr="000475A5">
        <w:trPr>
          <w:trHeight w:val="454"/>
          <w:jc w:val="center"/>
        </w:trPr>
        <w:tc>
          <w:tcPr>
            <w:tcW w:w="1257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4167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3.小学、初中学生体质健康及格率均达到自治区规定的85%以上，保证每天开展1小时阳光体育活动。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L19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64" w:type="dxa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6" w:type="dxa"/>
            <w:gridSpan w:val="3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24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34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3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69" w:type="dxa"/>
            <w:gridSpan w:val="3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</w:tr>
      <w:tr w:rsidR="00801F77" w:rsidTr="000475A5">
        <w:trPr>
          <w:trHeight w:val="454"/>
          <w:jc w:val="center"/>
        </w:trPr>
        <w:tc>
          <w:tcPr>
            <w:tcW w:w="1257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4167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4.义务教育阶段不存在重点校、重点班；公办义务教育学校择校现象得到基本遏制。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L20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64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6" w:type="dxa"/>
            <w:gridSpan w:val="3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24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34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33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69" w:type="dxa"/>
            <w:gridSpan w:val="3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</w:tr>
      <w:tr w:rsidR="00801F77" w:rsidTr="000475A5">
        <w:trPr>
          <w:gridAfter w:val="1"/>
          <w:wAfter w:w="36" w:type="dxa"/>
          <w:trHeight w:val="454"/>
          <w:jc w:val="center"/>
        </w:trPr>
        <w:tc>
          <w:tcPr>
            <w:tcW w:w="1257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4167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5.无利用节假日、双休日、课余时间组织学生集体补课现象。学生每天在校学习时间（包括自习）小学不超6小时，初中不超7小时。小学一、二年级不留课外作业，其他年级课外作业每天不超1小时，初中课外作业每天不超1.5小时。教育行政部门和学校建立了减轻中小学生过重课业负担管理制度、监测制度、举报制度和问责制度。中小学过重课业负担得到有效减轻。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L21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64" w:type="dxa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6" w:type="dxa"/>
            <w:gridSpan w:val="3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624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630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634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3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633" w:type="dxa"/>
            <w:gridSpan w:val="2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</w:tr>
      <w:tr w:rsidR="00801F77" w:rsidTr="000475A5">
        <w:trPr>
          <w:gridAfter w:val="1"/>
          <w:wAfter w:w="36" w:type="dxa"/>
          <w:trHeight w:val="454"/>
          <w:jc w:val="center"/>
        </w:trPr>
        <w:tc>
          <w:tcPr>
            <w:tcW w:w="5999" w:type="dxa"/>
            <w:gridSpan w:val="3"/>
            <w:shd w:val="clear" w:color="auto" w:fill="99CCFF"/>
            <w:vAlign w:val="center"/>
          </w:tcPr>
          <w:p w:rsidR="00801F77" w:rsidRDefault="00801F77" w:rsidP="000475A5">
            <w:pPr>
              <w:widowControl/>
              <w:snapToGrid w:val="0"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总    分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napToGrid w:val="0"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664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86.9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85.9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92.9</w:t>
            </w:r>
          </w:p>
        </w:tc>
        <w:tc>
          <w:tcPr>
            <w:tcW w:w="630" w:type="dxa"/>
            <w:gridSpan w:val="3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91.3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88.2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86.6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ind w:rightChars="-32" w:right="-67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90.1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88.4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91.8</w:t>
            </w:r>
          </w:p>
        </w:tc>
        <w:tc>
          <w:tcPr>
            <w:tcW w:w="630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93</w:t>
            </w:r>
          </w:p>
        </w:tc>
        <w:tc>
          <w:tcPr>
            <w:tcW w:w="634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94</w:t>
            </w:r>
          </w:p>
        </w:tc>
        <w:tc>
          <w:tcPr>
            <w:tcW w:w="633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93.9</w:t>
            </w:r>
          </w:p>
        </w:tc>
        <w:tc>
          <w:tcPr>
            <w:tcW w:w="633" w:type="dxa"/>
            <w:gridSpan w:val="2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90</w:t>
            </w:r>
          </w:p>
        </w:tc>
      </w:tr>
    </w:tbl>
    <w:p w:rsidR="00801F77" w:rsidRDefault="00801F77" w:rsidP="00801F77">
      <w:pPr>
        <w:adjustRightInd w:val="0"/>
        <w:snapToGrid w:val="0"/>
        <w:spacing w:afterLines="50" w:after="156" w:line="280" w:lineRule="exact"/>
        <w:ind w:firstLineChars="200" w:firstLine="560"/>
        <w:jc w:val="center"/>
        <w:rPr>
          <w:rFonts w:ascii="黑体" w:eastAsia="黑体" w:hAnsi="黑体"/>
          <w:sz w:val="28"/>
          <w:szCs w:val="30"/>
        </w:rPr>
      </w:pPr>
    </w:p>
    <w:p w:rsidR="00801F77" w:rsidRDefault="00801F77">
      <w:pPr>
        <w:widowControl/>
        <w:jc w:val="left"/>
        <w:rPr>
          <w:rFonts w:ascii="黑体" w:eastAsia="黑体" w:hAnsi="黑体"/>
          <w:sz w:val="28"/>
          <w:szCs w:val="30"/>
        </w:rPr>
      </w:pPr>
      <w:r>
        <w:rPr>
          <w:rFonts w:ascii="黑体" w:eastAsia="黑体" w:hAnsi="黑体"/>
          <w:sz w:val="28"/>
          <w:szCs w:val="30"/>
        </w:rPr>
        <w:br w:type="page"/>
      </w:r>
    </w:p>
    <w:p w:rsidR="00801F77" w:rsidRDefault="00801F77" w:rsidP="00801F77">
      <w:pPr>
        <w:adjustRightInd w:val="0"/>
        <w:snapToGrid w:val="0"/>
        <w:spacing w:afterLines="50" w:after="156" w:line="280" w:lineRule="exact"/>
        <w:ind w:firstLineChars="200" w:firstLine="560"/>
        <w:jc w:val="center"/>
        <w:rPr>
          <w:rFonts w:ascii="Times New Roman" w:eastAsia="黑体" w:hAnsi="Times New Roman"/>
          <w:kern w:val="0"/>
          <w:sz w:val="28"/>
          <w:szCs w:val="28"/>
        </w:rPr>
      </w:pPr>
      <w:bookmarkStart w:id="0" w:name="_GoBack"/>
      <w:bookmarkEnd w:id="0"/>
      <w:r>
        <w:rPr>
          <w:rFonts w:ascii="黑体" w:eastAsia="黑体" w:hAnsi="黑体" w:hint="eastAsia"/>
          <w:sz w:val="28"/>
          <w:szCs w:val="30"/>
        </w:rPr>
        <w:lastRenderedPageBreak/>
        <w:t>表</w:t>
      </w:r>
      <w:r>
        <w:rPr>
          <w:rFonts w:ascii="黑体" w:eastAsia="黑体" w:hAnsi="黑体"/>
          <w:sz w:val="28"/>
          <w:szCs w:val="30"/>
        </w:rPr>
        <w:t>3</w:t>
      </w:r>
      <w:r>
        <w:rPr>
          <w:rFonts w:ascii="黑体" w:eastAsia="黑体" w:hAnsi="黑体" w:hint="eastAsia"/>
          <w:sz w:val="28"/>
          <w:szCs w:val="30"/>
        </w:rPr>
        <w:t xml:space="preserve"> </w:t>
      </w:r>
      <w:r>
        <w:rPr>
          <w:rFonts w:ascii="Times New Roman" w:eastAsia="黑体" w:hAnsi="Times New Roman"/>
          <w:kern w:val="0"/>
          <w:sz w:val="28"/>
          <w:szCs w:val="28"/>
        </w:rPr>
        <w:t>内蒙古自治区</w:t>
      </w:r>
      <w:r>
        <w:rPr>
          <w:rFonts w:ascii="Times New Roman" w:eastAsia="黑体" w:hAnsi="Times New Roman"/>
          <w:kern w:val="0"/>
          <w:sz w:val="28"/>
          <w:szCs w:val="28"/>
        </w:rPr>
        <w:t>25</w:t>
      </w:r>
      <w:r>
        <w:rPr>
          <w:rFonts w:ascii="Times New Roman" w:eastAsia="黑体" w:hAnsi="Times New Roman"/>
          <w:kern w:val="0"/>
          <w:sz w:val="28"/>
          <w:szCs w:val="28"/>
        </w:rPr>
        <w:t>个</w:t>
      </w:r>
      <w:r>
        <w:rPr>
          <w:rFonts w:ascii="Times New Roman" w:eastAsia="黑体" w:hAnsi="Times New Roman"/>
          <w:color w:val="000000"/>
          <w:kern w:val="0"/>
          <w:sz w:val="28"/>
          <w:szCs w:val="28"/>
        </w:rPr>
        <w:t>县政</w:t>
      </w:r>
      <w:r>
        <w:rPr>
          <w:rFonts w:ascii="Times New Roman" w:eastAsia="黑体" w:hAnsi="Times New Roman"/>
          <w:kern w:val="0"/>
          <w:sz w:val="28"/>
          <w:szCs w:val="28"/>
        </w:rPr>
        <w:t>府推进义务教育均衡发展工作得分情况表</w:t>
      </w:r>
      <w:r>
        <w:rPr>
          <w:rFonts w:ascii="Times New Roman" w:eastAsia="黑体" w:hAnsi="Times New Roman"/>
          <w:kern w:val="0"/>
          <w:sz w:val="28"/>
          <w:szCs w:val="28"/>
        </w:rPr>
        <w:t>(</w:t>
      </w:r>
      <w:r>
        <w:rPr>
          <w:rFonts w:ascii="Times New Roman" w:eastAsia="黑体" w:hAnsi="Times New Roman" w:hint="eastAsia"/>
          <w:kern w:val="0"/>
          <w:sz w:val="28"/>
          <w:szCs w:val="28"/>
        </w:rPr>
        <w:t>二</w:t>
      </w:r>
      <w:r>
        <w:rPr>
          <w:rFonts w:ascii="Times New Roman" w:eastAsia="黑体" w:hAnsi="Times New Roman"/>
          <w:kern w:val="0"/>
          <w:sz w:val="28"/>
          <w:szCs w:val="28"/>
        </w:rPr>
        <w:t>)</w:t>
      </w:r>
    </w:p>
    <w:tbl>
      <w:tblPr>
        <w:tblW w:w="0" w:type="auto"/>
        <w:tbl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single" w:sz="4" w:space="0" w:color="4BACC6"/>
          <w:insideV w:val="single" w:sz="4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1261"/>
        <w:gridCol w:w="4172"/>
        <w:gridCol w:w="576"/>
        <w:gridCol w:w="575"/>
        <w:gridCol w:w="633"/>
        <w:gridCol w:w="633"/>
        <w:gridCol w:w="633"/>
        <w:gridCol w:w="633"/>
        <w:gridCol w:w="633"/>
        <w:gridCol w:w="633"/>
        <w:gridCol w:w="633"/>
        <w:gridCol w:w="633"/>
        <w:gridCol w:w="633"/>
        <w:gridCol w:w="633"/>
        <w:gridCol w:w="633"/>
        <w:gridCol w:w="633"/>
      </w:tblGrid>
      <w:tr w:rsidR="00801F77" w:rsidTr="000475A5">
        <w:trPr>
          <w:cantSplit/>
          <w:trHeight w:val="1435"/>
          <w:tblHeader/>
        </w:trPr>
        <w:tc>
          <w:tcPr>
            <w:tcW w:w="1261" w:type="dxa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指标</w:t>
            </w:r>
          </w:p>
        </w:tc>
        <w:tc>
          <w:tcPr>
            <w:tcW w:w="4172" w:type="dxa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评估标准</w:t>
            </w:r>
          </w:p>
        </w:tc>
        <w:tc>
          <w:tcPr>
            <w:tcW w:w="1151" w:type="dxa"/>
            <w:gridSpan w:val="2"/>
            <w:tcBorders>
              <w:tl2br w:val="single" w:sz="4" w:space="0" w:color="4BACC6"/>
            </w:tcBorders>
            <w:vAlign w:val="center"/>
          </w:tcPr>
          <w:p w:rsidR="00801F77" w:rsidRDefault="00801F77" w:rsidP="000475A5">
            <w:pPr>
              <w:widowControl/>
              <w:spacing w:line="240" w:lineRule="exact"/>
              <w:jc w:val="right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区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县</w:t>
            </w:r>
          </w:p>
          <w:p w:rsidR="00801F77" w:rsidRDefault="00801F77" w:rsidP="000475A5">
            <w:pPr>
              <w:widowControl/>
              <w:spacing w:line="240" w:lineRule="exact"/>
              <w:jc w:val="left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分</w:t>
            </w:r>
          </w:p>
          <w:p w:rsidR="00801F77" w:rsidRDefault="00801F77" w:rsidP="000475A5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值</w:t>
            </w:r>
          </w:p>
        </w:tc>
        <w:tc>
          <w:tcPr>
            <w:tcW w:w="633" w:type="dxa"/>
            <w:textDirection w:val="tbRlV"/>
            <w:vAlign w:val="center"/>
          </w:tcPr>
          <w:p w:rsidR="00801F77" w:rsidRDefault="00801F77" w:rsidP="000475A5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陈巴尔虎旗</w:t>
            </w:r>
          </w:p>
        </w:tc>
        <w:tc>
          <w:tcPr>
            <w:tcW w:w="633" w:type="dxa"/>
            <w:textDirection w:val="tbRlV"/>
            <w:vAlign w:val="center"/>
          </w:tcPr>
          <w:p w:rsidR="00801F77" w:rsidRDefault="00801F77" w:rsidP="000475A5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新巴尔虎左旗</w:t>
            </w:r>
          </w:p>
        </w:tc>
        <w:tc>
          <w:tcPr>
            <w:tcW w:w="633" w:type="dxa"/>
            <w:textDirection w:val="tbRlV"/>
            <w:vAlign w:val="center"/>
          </w:tcPr>
          <w:p w:rsidR="00801F77" w:rsidRDefault="00801F77" w:rsidP="000475A5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鄂温克族自治旗</w:t>
            </w:r>
          </w:p>
        </w:tc>
        <w:tc>
          <w:tcPr>
            <w:tcW w:w="633" w:type="dxa"/>
            <w:textDirection w:val="tbRlV"/>
            <w:vAlign w:val="center"/>
          </w:tcPr>
          <w:p w:rsidR="00801F77" w:rsidRDefault="00801F77" w:rsidP="000475A5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磴口县</w:t>
            </w:r>
          </w:p>
        </w:tc>
        <w:tc>
          <w:tcPr>
            <w:tcW w:w="633" w:type="dxa"/>
            <w:textDirection w:val="tbRlV"/>
            <w:vAlign w:val="center"/>
          </w:tcPr>
          <w:p w:rsidR="00801F77" w:rsidRDefault="00801F77" w:rsidP="000475A5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乌拉特后旗</w:t>
            </w:r>
          </w:p>
        </w:tc>
        <w:tc>
          <w:tcPr>
            <w:tcW w:w="633" w:type="dxa"/>
            <w:textDirection w:val="tbRlV"/>
            <w:vAlign w:val="center"/>
          </w:tcPr>
          <w:p w:rsidR="00801F77" w:rsidRDefault="00801F77" w:rsidP="000475A5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阿尔山市</w:t>
            </w:r>
          </w:p>
        </w:tc>
        <w:tc>
          <w:tcPr>
            <w:tcW w:w="633" w:type="dxa"/>
            <w:textDirection w:val="tbRlV"/>
            <w:vAlign w:val="center"/>
          </w:tcPr>
          <w:p w:rsidR="00801F77" w:rsidRDefault="00801F77" w:rsidP="000475A5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阿巴嘎旗</w:t>
            </w:r>
          </w:p>
        </w:tc>
        <w:tc>
          <w:tcPr>
            <w:tcW w:w="633" w:type="dxa"/>
            <w:textDirection w:val="tbRlV"/>
            <w:vAlign w:val="center"/>
          </w:tcPr>
          <w:p w:rsidR="00801F77" w:rsidRDefault="00801F77" w:rsidP="000475A5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苏尼特右旗</w:t>
            </w:r>
          </w:p>
        </w:tc>
        <w:tc>
          <w:tcPr>
            <w:tcW w:w="633" w:type="dxa"/>
            <w:textDirection w:val="tbRlV"/>
            <w:vAlign w:val="center"/>
          </w:tcPr>
          <w:p w:rsidR="00801F77" w:rsidRDefault="00801F77" w:rsidP="000475A5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东乌珠穆沁旗</w:t>
            </w:r>
          </w:p>
        </w:tc>
        <w:tc>
          <w:tcPr>
            <w:tcW w:w="633" w:type="dxa"/>
            <w:textDirection w:val="tbRlV"/>
            <w:vAlign w:val="center"/>
          </w:tcPr>
          <w:p w:rsidR="00801F77" w:rsidRDefault="00801F77" w:rsidP="000475A5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西乌珠穆沁旗</w:t>
            </w:r>
          </w:p>
        </w:tc>
        <w:tc>
          <w:tcPr>
            <w:tcW w:w="633" w:type="dxa"/>
            <w:textDirection w:val="tbRlV"/>
            <w:vAlign w:val="center"/>
          </w:tcPr>
          <w:p w:rsidR="00801F77" w:rsidRDefault="00801F77" w:rsidP="000475A5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b/>
                <w:sz w:val="18"/>
                <w:szCs w:val="18"/>
              </w:rPr>
              <w:t>镶</w:t>
            </w:r>
            <w:proofErr w:type="gramEnd"/>
            <w:r>
              <w:rPr>
                <w:rFonts w:ascii="Times New Roman" w:hAnsi="Times New Roman"/>
                <w:b/>
                <w:sz w:val="18"/>
                <w:szCs w:val="18"/>
              </w:rPr>
              <w:t>黄旗</w:t>
            </w:r>
          </w:p>
        </w:tc>
        <w:tc>
          <w:tcPr>
            <w:tcW w:w="633" w:type="dxa"/>
            <w:textDirection w:val="tbRlV"/>
            <w:vAlign w:val="center"/>
          </w:tcPr>
          <w:p w:rsidR="00801F77" w:rsidRDefault="00801F77" w:rsidP="000475A5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额济纳旗</w:t>
            </w:r>
          </w:p>
        </w:tc>
      </w:tr>
      <w:tr w:rsidR="00801F77" w:rsidTr="000475A5">
        <w:trPr>
          <w:trHeight w:val="397"/>
        </w:trPr>
        <w:tc>
          <w:tcPr>
            <w:tcW w:w="1261" w:type="dxa"/>
            <w:vMerge w:val="restart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A1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入学机会</w:t>
            </w:r>
          </w:p>
          <w:p w:rsidR="00801F77" w:rsidRDefault="00801F77" w:rsidP="000475A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20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分）</w:t>
            </w:r>
          </w:p>
        </w:tc>
        <w:tc>
          <w:tcPr>
            <w:tcW w:w="4172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1.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进城务工人员随迁子女就学纳入流入地教育发展规划。坚持以流入地政府管理为主、以全日制公办中小学为主，纳入流入地政府财政保障体系。</w:t>
            </w:r>
          </w:p>
        </w:tc>
        <w:tc>
          <w:tcPr>
            <w:tcW w:w="576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  <w:p w:rsidR="00801F77" w:rsidRDefault="00801F77" w:rsidP="000475A5">
            <w:pPr>
              <w:widowControl/>
              <w:spacing w:line="240" w:lineRule="exact"/>
              <w:ind w:firstLineChars="50" w:firstLine="9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L1</w:t>
            </w:r>
          </w:p>
          <w:p w:rsidR="00801F77" w:rsidRDefault="00801F77" w:rsidP="000475A5">
            <w:pPr>
              <w:spacing w:line="24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5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5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5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5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5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5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5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5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</w:tr>
      <w:tr w:rsidR="00801F77" w:rsidTr="000475A5">
        <w:trPr>
          <w:trHeight w:val="397"/>
        </w:trPr>
        <w:tc>
          <w:tcPr>
            <w:tcW w:w="1261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4172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2.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构建起以政府为主导，学校、家庭、社会各方面广泛参与的留守儿童关爱体系和动态监测机制。加快农村牧区寄宿制学校建设，满足留守儿童入学住宿需求。</w:t>
            </w:r>
          </w:p>
        </w:tc>
        <w:tc>
          <w:tcPr>
            <w:tcW w:w="576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L2</w:t>
            </w:r>
          </w:p>
          <w:p w:rsidR="00801F77" w:rsidRDefault="00801F77" w:rsidP="000475A5">
            <w:pPr>
              <w:spacing w:line="24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5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5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5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5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5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5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5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5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5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</w:tr>
      <w:tr w:rsidR="00801F77" w:rsidTr="000475A5">
        <w:trPr>
          <w:trHeight w:val="397"/>
        </w:trPr>
        <w:tc>
          <w:tcPr>
            <w:tcW w:w="1261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4172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3.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三类残疾儿童少年义务教育入学率不低于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80%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。</w:t>
            </w:r>
          </w:p>
        </w:tc>
        <w:tc>
          <w:tcPr>
            <w:tcW w:w="576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L3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4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4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801F77" w:rsidTr="000475A5">
        <w:trPr>
          <w:trHeight w:val="397"/>
        </w:trPr>
        <w:tc>
          <w:tcPr>
            <w:tcW w:w="1261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4172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4.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实行小学升初中划片就近入学。优质普通高中招生名额按初中规模合理分配，其分配比例不低于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60%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。</w:t>
            </w:r>
          </w:p>
        </w:tc>
        <w:tc>
          <w:tcPr>
            <w:tcW w:w="576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L4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6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6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6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6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6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6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6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6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6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</w:tr>
      <w:tr w:rsidR="00801F77" w:rsidTr="000475A5">
        <w:trPr>
          <w:trHeight w:val="397"/>
        </w:trPr>
        <w:tc>
          <w:tcPr>
            <w:tcW w:w="1261" w:type="dxa"/>
            <w:vMerge w:val="restart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 xml:space="preserve">A2 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保障机制</w:t>
            </w:r>
          </w:p>
          <w:p w:rsidR="00801F77" w:rsidRDefault="00801F77" w:rsidP="000475A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25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分）</w:t>
            </w:r>
          </w:p>
        </w:tc>
        <w:tc>
          <w:tcPr>
            <w:tcW w:w="4172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1.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建立了义务教育均衡发展责任制度、监督机制和问责机制。</w:t>
            </w:r>
          </w:p>
        </w:tc>
        <w:tc>
          <w:tcPr>
            <w:tcW w:w="576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L5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3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3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3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3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3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3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3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3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3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</w:tr>
      <w:tr w:rsidR="00801F77" w:rsidTr="000475A5">
        <w:trPr>
          <w:trHeight w:val="397"/>
        </w:trPr>
        <w:tc>
          <w:tcPr>
            <w:tcW w:w="1261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4172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2.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义务教育经费在财政预算中单列，近三年义务教育经费做到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“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三个增长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”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。</w:t>
            </w:r>
          </w:p>
        </w:tc>
        <w:tc>
          <w:tcPr>
            <w:tcW w:w="576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L6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5.1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4.8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6.7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5.4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5.7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3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5.7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5.7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4.4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4.4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5.1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</w:tr>
      <w:tr w:rsidR="00801F77" w:rsidTr="000475A5">
        <w:trPr>
          <w:trHeight w:val="397"/>
        </w:trPr>
        <w:tc>
          <w:tcPr>
            <w:tcW w:w="1261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4172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3.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制定了义务教育学校标准化建设实施方案，并按实施方案完成进度计划。制定并有效实施了薄弱学校改造计划，坚持财政性教育经费向薄弱学校倾斜。</w:t>
            </w:r>
          </w:p>
        </w:tc>
        <w:tc>
          <w:tcPr>
            <w:tcW w:w="576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L7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6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6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6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6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6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6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6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6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6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</w:tr>
      <w:tr w:rsidR="00801F77" w:rsidTr="000475A5">
        <w:trPr>
          <w:trHeight w:val="397"/>
        </w:trPr>
        <w:tc>
          <w:tcPr>
            <w:tcW w:w="1261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4172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4.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农村税费改革转移支付资金主要用于教育。</w:t>
            </w:r>
          </w:p>
        </w:tc>
        <w:tc>
          <w:tcPr>
            <w:tcW w:w="576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L8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2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2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801F77" w:rsidTr="000475A5">
        <w:trPr>
          <w:trHeight w:val="397"/>
        </w:trPr>
        <w:tc>
          <w:tcPr>
            <w:tcW w:w="1261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4172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5.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教育费附加足额征收，及时足额用于教育。</w:t>
            </w:r>
          </w:p>
        </w:tc>
        <w:tc>
          <w:tcPr>
            <w:tcW w:w="576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L9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2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2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1.3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1.2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801F77" w:rsidTr="000475A5">
        <w:trPr>
          <w:trHeight w:val="397"/>
        </w:trPr>
        <w:tc>
          <w:tcPr>
            <w:tcW w:w="1261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4172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6.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在城市（镇）建设中合理规划义务教育学校布局，城市（镇）建设规划有学校建设规划，并按规划建设好学校。</w:t>
            </w:r>
          </w:p>
        </w:tc>
        <w:tc>
          <w:tcPr>
            <w:tcW w:w="576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L10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3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3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3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3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3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3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3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3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3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</w:tr>
      <w:tr w:rsidR="00801F77" w:rsidTr="000475A5">
        <w:trPr>
          <w:trHeight w:val="397"/>
        </w:trPr>
        <w:tc>
          <w:tcPr>
            <w:tcW w:w="1261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4172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7.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在推进义务教育均衡发展过程中，对民族义务教育学校在项目上优先安排，在资金上予以倾斜。</w:t>
            </w:r>
          </w:p>
        </w:tc>
        <w:tc>
          <w:tcPr>
            <w:tcW w:w="576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L11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2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2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801F77" w:rsidTr="000475A5">
        <w:trPr>
          <w:trHeight w:val="454"/>
        </w:trPr>
        <w:tc>
          <w:tcPr>
            <w:tcW w:w="1261" w:type="dxa"/>
            <w:vMerge w:val="restart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A3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教师队伍</w:t>
            </w:r>
          </w:p>
          <w:p w:rsidR="00801F77" w:rsidRDefault="00801F77" w:rsidP="000475A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35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分）</w:t>
            </w:r>
          </w:p>
        </w:tc>
        <w:tc>
          <w:tcPr>
            <w:tcW w:w="4172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1.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全面实施义务教育学校教职工绩效工资制度，并按时足额发放。</w:t>
            </w:r>
          </w:p>
        </w:tc>
        <w:tc>
          <w:tcPr>
            <w:tcW w:w="576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L12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8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8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8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8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8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8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8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8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8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8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8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801F77" w:rsidTr="000475A5">
        <w:trPr>
          <w:trHeight w:val="454"/>
        </w:trPr>
        <w:tc>
          <w:tcPr>
            <w:tcW w:w="1261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4172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2.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建立完善教师补充机制，新增教师优先满足农村牧区学校、城镇薄弱学校需求。按编制标准配齐合格的学科教师。</w:t>
            </w:r>
          </w:p>
        </w:tc>
        <w:tc>
          <w:tcPr>
            <w:tcW w:w="576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L13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8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7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8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8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8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6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7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7.5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7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</w:tr>
      <w:tr w:rsidR="00801F77" w:rsidTr="000475A5">
        <w:trPr>
          <w:trHeight w:val="454"/>
        </w:trPr>
        <w:tc>
          <w:tcPr>
            <w:tcW w:w="1261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4172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3.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建立并有效实施了县域内义务教育学校校长和教师定期交流制度。</w:t>
            </w:r>
          </w:p>
        </w:tc>
        <w:tc>
          <w:tcPr>
            <w:tcW w:w="576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L14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5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5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5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5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5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5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5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5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7.5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5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</w:tr>
      <w:tr w:rsidR="00801F77" w:rsidTr="000475A5">
        <w:trPr>
          <w:trHeight w:val="454"/>
        </w:trPr>
        <w:tc>
          <w:tcPr>
            <w:tcW w:w="1261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4172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4.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中小学教师培训经费按不低于教师工资总额的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1-2%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纳入财政预算；教育费附加中提取不低于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15%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用于中小学教师继续教育；农村学校按照年度公用经费总额的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5%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用于教师培训。</w:t>
            </w:r>
          </w:p>
        </w:tc>
        <w:tc>
          <w:tcPr>
            <w:tcW w:w="576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L15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12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8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4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6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8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8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12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10.2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9.4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3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10.7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</w:tr>
      <w:tr w:rsidR="00801F77" w:rsidTr="000475A5">
        <w:trPr>
          <w:trHeight w:val="454"/>
        </w:trPr>
        <w:tc>
          <w:tcPr>
            <w:tcW w:w="1261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4172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5.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建有农村牧区教师周转宿舍，解决交流教师、</w:t>
            </w:r>
            <w:proofErr w:type="gramStart"/>
            <w:r>
              <w:rPr>
                <w:rFonts w:ascii="Times New Roman" w:hAnsi="Times New Roman"/>
                <w:kern w:val="0"/>
                <w:sz w:val="18"/>
                <w:szCs w:val="18"/>
              </w:rPr>
              <w:t>特</w:t>
            </w:r>
            <w:proofErr w:type="gramEnd"/>
            <w:r>
              <w:rPr>
                <w:rFonts w:ascii="Times New Roman" w:hAnsi="Times New Roman"/>
                <w:kern w:val="0"/>
                <w:sz w:val="18"/>
                <w:szCs w:val="18"/>
              </w:rPr>
              <w:t>岗教师、支教教师的居住问题。</w:t>
            </w:r>
          </w:p>
        </w:tc>
        <w:tc>
          <w:tcPr>
            <w:tcW w:w="576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L16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2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2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2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10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801F77" w:rsidTr="000475A5">
        <w:trPr>
          <w:trHeight w:val="454"/>
        </w:trPr>
        <w:tc>
          <w:tcPr>
            <w:tcW w:w="1261" w:type="dxa"/>
            <w:vMerge w:val="restart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lastRenderedPageBreak/>
              <w:t>A4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质量与管理（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20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分）</w:t>
            </w:r>
          </w:p>
        </w:tc>
        <w:tc>
          <w:tcPr>
            <w:tcW w:w="4172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1.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按照《内蒙古自治区义务教育课程计划》，开齐开足国家课程，开好地方课程、校本课程。</w:t>
            </w:r>
          </w:p>
        </w:tc>
        <w:tc>
          <w:tcPr>
            <w:tcW w:w="576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L17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4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4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4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801F77" w:rsidTr="000475A5">
        <w:trPr>
          <w:trHeight w:val="454"/>
        </w:trPr>
        <w:tc>
          <w:tcPr>
            <w:tcW w:w="1261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4172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2.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九年义务教育巩固率达到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93%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。</w:t>
            </w:r>
          </w:p>
        </w:tc>
        <w:tc>
          <w:tcPr>
            <w:tcW w:w="576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L18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4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4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4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801F77" w:rsidTr="000475A5">
        <w:trPr>
          <w:trHeight w:val="454"/>
        </w:trPr>
        <w:tc>
          <w:tcPr>
            <w:tcW w:w="1261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4172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3.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小学、初中学生体质健康及格率均达到自治区规定的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85%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以上，保证每天开展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小时阳光体育活动。</w:t>
            </w:r>
          </w:p>
        </w:tc>
        <w:tc>
          <w:tcPr>
            <w:tcW w:w="576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L19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3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3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3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3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3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3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3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</w:tr>
      <w:tr w:rsidR="00801F77" w:rsidTr="000475A5">
        <w:trPr>
          <w:trHeight w:val="454"/>
        </w:trPr>
        <w:tc>
          <w:tcPr>
            <w:tcW w:w="1261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4172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4.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义务教育阶段不存在重点校、重点班；公办义务教育学校择校现象得到基本遏制。</w:t>
            </w:r>
          </w:p>
        </w:tc>
        <w:tc>
          <w:tcPr>
            <w:tcW w:w="576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L20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4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4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4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3.5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2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801F77" w:rsidTr="000475A5">
        <w:trPr>
          <w:trHeight w:val="454"/>
        </w:trPr>
        <w:tc>
          <w:tcPr>
            <w:tcW w:w="1261" w:type="dxa"/>
            <w:vMerge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4172" w:type="dxa"/>
            <w:shd w:val="clear" w:color="auto" w:fill="99CCFF"/>
            <w:vAlign w:val="center"/>
          </w:tcPr>
          <w:p w:rsidR="00801F77" w:rsidRDefault="00801F77" w:rsidP="000475A5">
            <w:pPr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5.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无利用节假日、双休日、课余时间组织学生集体补课现象。学生每天在校学习时间（包括自习）小学不超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小时，初中不超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小时。小学一、二年级不留课外作业，其他年级课外作业每天不超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小时，初中课外作业每天不超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1.5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小时。教育行政部门和学校建立了减轻中小学生过重课业负担管理制度、监测制度、举报制度和问责制度。中小学过重课业负担得到有效减轻。</w:t>
            </w:r>
          </w:p>
        </w:tc>
        <w:tc>
          <w:tcPr>
            <w:tcW w:w="576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L21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5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5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5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5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5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5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5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5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4.5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4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/>
                <w:sz w:val="22"/>
              </w:rPr>
              <w:t>5</w:t>
            </w:r>
          </w:p>
        </w:tc>
        <w:tc>
          <w:tcPr>
            <w:tcW w:w="633" w:type="dxa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</w:tr>
      <w:tr w:rsidR="00801F77" w:rsidTr="000475A5">
        <w:trPr>
          <w:trHeight w:val="454"/>
        </w:trPr>
        <w:tc>
          <w:tcPr>
            <w:tcW w:w="6009" w:type="dxa"/>
            <w:gridSpan w:val="3"/>
            <w:shd w:val="clear" w:color="auto" w:fill="99CCFF"/>
            <w:vAlign w:val="center"/>
          </w:tcPr>
          <w:p w:rsidR="00801F77" w:rsidRDefault="00801F77" w:rsidP="000475A5"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总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分</w:t>
            </w:r>
          </w:p>
        </w:tc>
        <w:tc>
          <w:tcPr>
            <w:tcW w:w="575" w:type="dxa"/>
            <w:shd w:val="clear" w:color="auto" w:fill="99CCFF"/>
            <w:vAlign w:val="center"/>
          </w:tcPr>
          <w:p w:rsidR="00801F77" w:rsidRDefault="00801F77" w:rsidP="000475A5"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100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92.1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89.8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87.7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94.4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94.2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91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96.7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94.2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89.8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91.9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</w:t>
            </w:r>
          </w:p>
        </w:tc>
        <w:tc>
          <w:tcPr>
            <w:tcW w:w="633" w:type="dxa"/>
            <w:shd w:val="clear" w:color="auto" w:fill="99CCFF"/>
            <w:vAlign w:val="center"/>
          </w:tcPr>
          <w:p w:rsidR="00801F77" w:rsidRDefault="00801F77" w:rsidP="000475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</w:t>
            </w:r>
          </w:p>
        </w:tc>
      </w:tr>
    </w:tbl>
    <w:p w:rsidR="009A403E" w:rsidRPr="00801F77" w:rsidRDefault="009A403E" w:rsidP="00801F77"/>
    <w:sectPr w:rsidR="009A403E" w:rsidRPr="00801F77" w:rsidSect="006D048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355E" w:rsidRDefault="0040355E" w:rsidP="006D048A">
      <w:r>
        <w:separator/>
      </w:r>
    </w:p>
  </w:endnote>
  <w:endnote w:type="continuationSeparator" w:id="0">
    <w:p w:rsidR="0040355E" w:rsidRDefault="0040355E" w:rsidP="006D04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355E" w:rsidRDefault="0040355E" w:rsidP="006D048A">
      <w:r>
        <w:separator/>
      </w:r>
    </w:p>
  </w:footnote>
  <w:footnote w:type="continuationSeparator" w:id="0">
    <w:p w:rsidR="0040355E" w:rsidRDefault="0040355E" w:rsidP="006D04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20F"/>
    <w:rsid w:val="001442D6"/>
    <w:rsid w:val="0040355E"/>
    <w:rsid w:val="006D048A"/>
    <w:rsid w:val="00801F77"/>
    <w:rsid w:val="00930710"/>
    <w:rsid w:val="0093120F"/>
    <w:rsid w:val="009A4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48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04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04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04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04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48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04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04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04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04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602</Words>
  <Characters>3438</Characters>
  <Application>Microsoft Office Word</Application>
  <DocSecurity>0</DocSecurity>
  <Lines>28</Lines>
  <Paragraphs>8</Paragraphs>
  <ScaleCrop>false</ScaleCrop>
  <Company/>
  <LinksUpToDate>false</LinksUpToDate>
  <CharactersWithSpaces>4032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2015-12-04T01:40:00Z</dcterms:created>
  <dcterms:modified xsi:type="dcterms:W3CDTF">2015-12-04T01:47:00Z</dcterms:modified>
</cp:coreProperties>
</file>